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1F4" w:rsidRPr="001C21F4" w:rsidRDefault="001C21F4" w:rsidP="001C21F4">
      <w:pPr>
        <w:shd w:val="clear" w:color="auto" w:fill="FFFFFF"/>
        <w:spacing w:after="100" w:afterAutospacing="1" w:line="240" w:lineRule="auto"/>
        <w:jc w:val="center"/>
        <w:outlineLvl w:val="0"/>
        <w:rPr>
          <w:b/>
          <w:sz w:val="28"/>
          <w:szCs w:val="28"/>
        </w:rPr>
      </w:pPr>
      <w:r w:rsidRPr="001C21F4">
        <w:rPr>
          <w:b/>
          <w:sz w:val="28"/>
          <w:szCs w:val="28"/>
        </w:rPr>
        <w:t xml:space="preserve">361/2000 Sb., Zákon o provozu na pozemních komunikacích a o změnách některých zákonů (zákon o silničním provozu), ve znění účinném k </w:t>
      </w:r>
      <w:proofErr w:type="gramStart"/>
      <w:r w:rsidRPr="001C21F4">
        <w:rPr>
          <w:b/>
          <w:sz w:val="28"/>
          <w:szCs w:val="28"/>
        </w:rPr>
        <w:t>1.10.2020</w:t>
      </w:r>
      <w:proofErr w:type="gramEnd"/>
    </w:p>
    <w:p w:rsidR="00F32C9B" w:rsidRDefault="00F32C9B" w:rsidP="00F32C9B">
      <w:pPr>
        <w:jc w:val="both"/>
      </w:pPr>
    </w:p>
    <w:p w:rsidR="00F32C9B" w:rsidRDefault="00F32C9B" w:rsidP="00F32C9B">
      <w:pPr>
        <w:jc w:val="both"/>
      </w:pPr>
      <w:r>
        <w:t xml:space="preserve">§ 2 Vymezení základních pojmů </w:t>
      </w:r>
    </w:p>
    <w:p w:rsidR="00F32C9B" w:rsidRDefault="00F32C9B" w:rsidP="00F32C9B">
      <w:pPr>
        <w:jc w:val="both"/>
      </w:pPr>
      <w:r>
        <w:t xml:space="preserve">Pro účely tohoto zákona </w:t>
      </w:r>
    </w:p>
    <w:p w:rsidR="001C21F4" w:rsidRPr="001C21F4" w:rsidRDefault="001C21F4" w:rsidP="001C21F4">
      <w:pPr>
        <w:pStyle w:val="Odstavecseseznamem"/>
        <w:numPr>
          <w:ilvl w:val="0"/>
          <w:numId w:val="1"/>
        </w:numPr>
        <w:shd w:val="clear" w:color="auto" w:fill="FFFFFF"/>
        <w:spacing w:before="60" w:after="0" w:line="240" w:lineRule="auto"/>
        <w:jc w:val="both"/>
      </w:pPr>
      <w:r w:rsidRPr="001C21F4">
        <w:t>účastník provozu na pozemních komunikacích je každý, kdo se přímým způsobem účastní provozu na pozemních komunikacích,</w:t>
      </w:r>
    </w:p>
    <w:p w:rsidR="001C21F4" w:rsidRPr="001C21F4" w:rsidRDefault="001C21F4" w:rsidP="001C21F4">
      <w:pPr>
        <w:pStyle w:val="Odstavecseseznamem"/>
        <w:numPr>
          <w:ilvl w:val="0"/>
          <w:numId w:val="1"/>
        </w:numPr>
        <w:shd w:val="clear" w:color="auto" w:fill="FFFFFF"/>
        <w:spacing w:before="60" w:after="0" w:line="240" w:lineRule="auto"/>
        <w:jc w:val="both"/>
      </w:pPr>
      <w:r w:rsidRPr="001C21F4">
        <w:t>provozovatel vozidla je vlastník nebo jiná osoba, která je jako provozovatel zapsána v registru silničních vozidel podle zvláštního právního předpisu38b) nebo obdobné evidenci jiného státu,</w:t>
      </w:r>
    </w:p>
    <w:p w:rsidR="001C21F4" w:rsidRPr="001C21F4" w:rsidRDefault="001C21F4" w:rsidP="001C21F4">
      <w:pPr>
        <w:pStyle w:val="Odstavecseseznamem"/>
        <w:numPr>
          <w:ilvl w:val="0"/>
          <w:numId w:val="1"/>
        </w:numPr>
        <w:shd w:val="clear" w:color="auto" w:fill="FFFFFF"/>
        <w:spacing w:before="60" w:after="0" w:line="240" w:lineRule="auto"/>
        <w:jc w:val="both"/>
      </w:pPr>
      <w:r w:rsidRPr="001C21F4">
        <w:t>průvodce vedených nebo hnaných zvířat je účastník provozu na pozemních komunikacích, který doprovází zvířata jdoucí jednotlivě nebo ve stádech po pozemní komunikaci; průvodcem vedených nebo hnaných zvířat není chodec vedoucí psa,</w:t>
      </w:r>
    </w:p>
    <w:p w:rsidR="001C21F4" w:rsidRPr="001C21F4" w:rsidRDefault="001C21F4" w:rsidP="001C21F4">
      <w:pPr>
        <w:pStyle w:val="Odstavecseseznamem"/>
        <w:numPr>
          <w:ilvl w:val="0"/>
          <w:numId w:val="1"/>
        </w:numPr>
        <w:shd w:val="clear" w:color="auto" w:fill="FFFFFF"/>
        <w:spacing w:before="60" w:after="0" w:line="240" w:lineRule="auto"/>
        <w:jc w:val="both"/>
      </w:pPr>
      <w:r w:rsidRPr="001C21F4">
        <w:t>řidič je účastník provozu na pozemních komunikacích, který řídí motorové nebo nemotorové vozidlo anebo tramvaj; řidičem je i jezdec na zvířeti,</w:t>
      </w:r>
    </w:p>
    <w:p w:rsidR="001C21F4" w:rsidRPr="001C21F4" w:rsidRDefault="001C21F4" w:rsidP="001C21F4">
      <w:pPr>
        <w:pStyle w:val="Odstavecseseznamem"/>
        <w:numPr>
          <w:ilvl w:val="0"/>
          <w:numId w:val="1"/>
        </w:numPr>
        <w:shd w:val="clear" w:color="auto" w:fill="FFFFFF"/>
        <w:spacing w:before="60" w:after="0" w:line="240" w:lineRule="auto"/>
        <w:jc w:val="both"/>
      </w:pPr>
      <w:r w:rsidRPr="001C21F4">
        <w:t>vozka je řidič, který řídí potahové vozidlo,</w:t>
      </w:r>
    </w:p>
    <w:p w:rsidR="001C21F4" w:rsidRPr="001C21F4" w:rsidRDefault="001C21F4" w:rsidP="001C21F4">
      <w:pPr>
        <w:pStyle w:val="Odstavecseseznamem"/>
        <w:numPr>
          <w:ilvl w:val="0"/>
          <w:numId w:val="1"/>
        </w:numPr>
        <w:shd w:val="clear" w:color="auto" w:fill="FFFFFF"/>
        <w:spacing w:before="60" w:after="0" w:line="240" w:lineRule="auto"/>
        <w:jc w:val="both"/>
      </w:pPr>
      <w:r w:rsidRPr="001C21F4">
        <w:t>vozidlo je motorové vozidlo, nemotorové vozidlo nebo tramvaj,</w:t>
      </w:r>
    </w:p>
    <w:p w:rsidR="001C21F4" w:rsidRPr="001C21F4" w:rsidRDefault="001C21F4" w:rsidP="001C21F4">
      <w:pPr>
        <w:pStyle w:val="Odstavecseseznamem"/>
        <w:numPr>
          <w:ilvl w:val="0"/>
          <w:numId w:val="1"/>
        </w:numPr>
        <w:shd w:val="clear" w:color="auto" w:fill="FFFFFF"/>
        <w:spacing w:before="60" w:after="0" w:line="240" w:lineRule="auto"/>
        <w:jc w:val="both"/>
      </w:pPr>
      <w:r w:rsidRPr="001C21F4">
        <w:t>motorové vozidlo je nekolejové vozidlo poháněné vlastní pohonnou jednotkou a trolejbus,</w:t>
      </w:r>
    </w:p>
    <w:p w:rsidR="001C21F4" w:rsidRPr="001C21F4" w:rsidRDefault="001C21F4" w:rsidP="001C21F4">
      <w:pPr>
        <w:pStyle w:val="Odstavecseseznamem"/>
        <w:numPr>
          <w:ilvl w:val="0"/>
          <w:numId w:val="1"/>
        </w:numPr>
        <w:shd w:val="clear" w:color="auto" w:fill="FFFFFF"/>
        <w:spacing w:before="60" w:after="0" w:line="240" w:lineRule="auto"/>
        <w:jc w:val="both"/>
      </w:pPr>
      <w:r w:rsidRPr="001C21F4">
        <w:t>nemotorové vozidlo je přípojné vozidlo a vozidlo pohybující se pomocí lidské nebo zvířecí síly, například jízdní kolo, ruční vozík nebo potahové vozidlo,</w:t>
      </w:r>
    </w:p>
    <w:p w:rsidR="001C21F4" w:rsidRPr="001C21F4" w:rsidRDefault="001C21F4" w:rsidP="001C21F4">
      <w:pPr>
        <w:pStyle w:val="Odstavecseseznamem"/>
        <w:numPr>
          <w:ilvl w:val="0"/>
          <w:numId w:val="1"/>
        </w:numPr>
        <w:shd w:val="clear" w:color="auto" w:fill="FFFFFF"/>
        <w:spacing w:before="60" w:after="0" w:line="240" w:lineRule="auto"/>
        <w:jc w:val="both"/>
      </w:pPr>
      <w:r w:rsidRPr="001C21F4">
        <w:t xml:space="preserve">jízdní souprava je souprava složená z jednoho nebo více motorových vozidel a jednoho nebo více přípojných </w:t>
      </w:r>
      <w:proofErr w:type="gramStart"/>
      <w:r w:rsidRPr="001C21F4">
        <w:t>vozidel,2)</w:t>
      </w:r>
      <w:proofErr w:type="gramEnd"/>
    </w:p>
    <w:p w:rsidR="001C21F4" w:rsidRPr="001C21F4" w:rsidRDefault="001C21F4" w:rsidP="001C21F4">
      <w:pPr>
        <w:pStyle w:val="Odstavecseseznamem"/>
        <w:numPr>
          <w:ilvl w:val="0"/>
          <w:numId w:val="1"/>
        </w:numPr>
        <w:shd w:val="clear" w:color="auto" w:fill="FFFFFF"/>
        <w:spacing w:before="60" w:after="0" w:line="240" w:lineRule="auto"/>
        <w:jc w:val="both"/>
      </w:pPr>
      <w:r w:rsidRPr="001C21F4">
        <w:t>chodec je i osoba, která tlačí nebo táhne sáňky, dětský kočárek, vozík pro invalidy nebo ruční vozík o celkové šířce nepřevyšující 600 mm, pohybuje se na lyžích, kolečkových bruslích nebo obdobném sportovním vybavení anebo pomocí ručního nebo motorového vozíku pro invalidy, vede jízdní kolo, motocykl o objemu válců do 50 cm3, psa a podobně,</w:t>
      </w:r>
    </w:p>
    <w:p w:rsidR="001C21F4" w:rsidRPr="001C21F4" w:rsidRDefault="001C21F4" w:rsidP="001C21F4">
      <w:pPr>
        <w:pStyle w:val="Odstavecseseznamem"/>
        <w:numPr>
          <w:ilvl w:val="0"/>
          <w:numId w:val="1"/>
        </w:numPr>
        <w:shd w:val="clear" w:color="auto" w:fill="FFFFFF"/>
        <w:spacing w:before="60" w:after="0" w:line="240" w:lineRule="auto"/>
        <w:jc w:val="both"/>
      </w:pPr>
      <w:r w:rsidRPr="001C21F4">
        <w:t>vozidlo hromadné dopravy osob je autobus, trolejbus nebo tramvaj,</w:t>
      </w:r>
    </w:p>
    <w:p w:rsidR="001C21F4" w:rsidRDefault="001C21F4" w:rsidP="00F32C9B">
      <w:pPr>
        <w:jc w:val="both"/>
      </w:pPr>
    </w:p>
    <w:p w:rsidR="00F32C9B" w:rsidRDefault="00F32C9B" w:rsidP="00F32C9B">
      <w:pPr>
        <w:jc w:val="both"/>
      </w:pPr>
      <w:r>
        <w:t>atd.</w:t>
      </w:r>
    </w:p>
    <w:p w:rsidR="00C75821" w:rsidRDefault="00C75821" w:rsidP="00F32C9B">
      <w:pPr>
        <w:jc w:val="both"/>
      </w:pPr>
    </w:p>
    <w:p w:rsidR="003C30E9" w:rsidRDefault="003C30E9" w:rsidP="00F32C9B">
      <w:pPr>
        <w:jc w:val="both"/>
      </w:pPr>
    </w:p>
    <w:p w:rsidR="003C30E9" w:rsidRDefault="003C30E9" w:rsidP="00F32C9B">
      <w:pPr>
        <w:jc w:val="both"/>
      </w:pPr>
    </w:p>
    <w:p w:rsidR="003C30E9" w:rsidRDefault="003C30E9" w:rsidP="00F32C9B">
      <w:pPr>
        <w:jc w:val="both"/>
      </w:pPr>
    </w:p>
    <w:p w:rsidR="003C30E9" w:rsidRDefault="003C30E9" w:rsidP="00F32C9B">
      <w:pPr>
        <w:jc w:val="both"/>
      </w:pPr>
    </w:p>
    <w:p w:rsidR="003C30E9" w:rsidRDefault="003C30E9" w:rsidP="00F32C9B">
      <w:pPr>
        <w:jc w:val="both"/>
      </w:pPr>
    </w:p>
    <w:p w:rsidR="003C30E9" w:rsidRDefault="003C30E9" w:rsidP="00F32C9B">
      <w:pPr>
        <w:jc w:val="both"/>
      </w:pPr>
    </w:p>
    <w:p w:rsidR="003C30E9" w:rsidRDefault="003C30E9" w:rsidP="00F32C9B">
      <w:pPr>
        <w:jc w:val="both"/>
      </w:pPr>
    </w:p>
    <w:p w:rsidR="003C30E9" w:rsidRDefault="003C30E9" w:rsidP="00F32C9B">
      <w:pPr>
        <w:jc w:val="both"/>
      </w:pPr>
    </w:p>
    <w:p w:rsidR="003C30E9" w:rsidRDefault="003C30E9" w:rsidP="00F32C9B">
      <w:pPr>
        <w:jc w:val="both"/>
      </w:pPr>
    </w:p>
    <w:p w:rsidR="00C75821" w:rsidRDefault="00C75821" w:rsidP="00F32C9B">
      <w:pPr>
        <w:jc w:val="both"/>
      </w:pPr>
    </w:p>
    <w:p w:rsidR="00C75821" w:rsidRDefault="00C75821" w:rsidP="00F32C9B">
      <w:pPr>
        <w:jc w:val="both"/>
      </w:pPr>
      <w:r>
        <w:lastRenderedPageBreak/>
        <w:t xml:space="preserve">Jízda na jízdním kole § 57 </w:t>
      </w:r>
    </w:p>
    <w:p w:rsidR="009B70B4" w:rsidRPr="009B70B4" w:rsidRDefault="009B70B4" w:rsidP="003C30E9">
      <w:pPr>
        <w:pStyle w:val="Odstavecseseznamem"/>
        <w:numPr>
          <w:ilvl w:val="0"/>
          <w:numId w:val="4"/>
        </w:numPr>
        <w:shd w:val="clear" w:color="auto" w:fill="FFFFFF"/>
        <w:spacing w:after="0" w:line="240" w:lineRule="auto"/>
        <w:jc w:val="both"/>
      </w:pPr>
      <w:r w:rsidRPr="009B70B4">
        <w:t>Je-li zřízen jízdní pruh pro cyklisty, vyhrazený jízdní pruh pro cyklisty, stezka pro cyklisty nebo je-li na křižovatce s řízeným provozem zřízen pruh pro cyklisty a vymezený prostor pro cyklisty, je cyklista povinen jich užít.</w:t>
      </w:r>
    </w:p>
    <w:p w:rsidR="009B70B4" w:rsidRPr="009B70B4" w:rsidRDefault="009B70B4" w:rsidP="003C30E9">
      <w:pPr>
        <w:pStyle w:val="Odstavecseseznamem"/>
        <w:numPr>
          <w:ilvl w:val="0"/>
          <w:numId w:val="4"/>
        </w:numPr>
        <w:shd w:val="clear" w:color="auto" w:fill="FFFFFF"/>
        <w:spacing w:after="0" w:line="240" w:lineRule="auto"/>
        <w:jc w:val="both"/>
      </w:pPr>
      <w:r w:rsidRPr="009B70B4">
        <w:t>Na pozemní komunikaci se na jízdním kole jezdí při pravém okraji vozovky; nejsou-li tím ohrožováni ani omezováni chodci, smí se jet po pravé krajnici. Jízdním kolem se z hlediska provozu na pozemních komunikacích rozumí i koloběžka.</w:t>
      </w:r>
    </w:p>
    <w:p w:rsidR="009B70B4" w:rsidRPr="009B70B4" w:rsidRDefault="009B70B4" w:rsidP="003C30E9">
      <w:pPr>
        <w:pStyle w:val="Odstavecseseznamem"/>
        <w:numPr>
          <w:ilvl w:val="0"/>
          <w:numId w:val="4"/>
        </w:numPr>
        <w:shd w:val="clear" w:color="auto" w:fill="FFFFFF"/>
        <w:spacing w:after="0" w:line="240" w:lineRule="auto"/>
        <w:jc w:val="both"/>
      </w:pPr>
      <w:r w:rsidRPr="009B70B4">
        <w:t>Cyklisté smějí jet jen jednotlivě za sebou.</w:t>
      </w:r>
    </w:p>
    <w:p w:rsidR="009B70B4" w:rsidRPr="009B70B4" w:rsidRDefault="009B70B4" w:rsidP="003C30E9">
      <w:pPr>
        <w:pStyle w:val="Odstavecseseznamem"/>
        <w:numPr>
          <w:ilvl w:val="0"/>
          <w:numId w:val="4"/>
        </w:numPr>
        <w:shd w:val="clear" w:color="auto" w:fill="FFFFFF"/>
        <w:spacing w:after="0" w:line="240" w:lineRule="auto"/>
        <w:jc w:val="both"/>
      </w:pPr>
      <w:r w:rsidRPr="009B70B4">
        <w:t>Pohybují-li se pomalu nebo stojí-li vozidla za sebou při pravém okraji vozovky, může cyklista jedoucí stejným směrem tato vozidla předjíždět nebo objíždět z pravé strany po pravém okraji vozovky nebo krajnici, pokud je vpravo od vozidel dostatek místa; přitom je povinen dbát zvýšené opatrnosti. To neplatí, odbočuje-li vozidlo vpravo a dává-li znamení o změně směru jízdy.</w:t>
      </w:r>
    </w:p>
    <w:p w:rsidR="009B70B4" w:rsidRPr="009B70B4" w:rsidRDefault="009B70B4" w:rsidP="003C30E9">
      <w:pPr>
        <w:pStyle w:val="Odstavecseseznamem"/>
        <w:numPr>
          <w:ilvl w:val="0"/>
          <w:numId w:val="4"/>
        </w:numPr>
        <w:shd w:val="clear" w:color="auto" w:fill="FFFFFF"/>
        <w:spacing w:after="0" w:line="240" w:lineRule="auto"/>
        <w:jc w:val="both"/>
      </w:pPr>
      <w:r w:rsidRPr="009B70B4">
        <w:t>Je-li zřízena stezka pro chodce a cyklisty označená dopravní značkou „Stezka pro chodce a cyklisty“, nesmí cyklista ohrozit chodce jdoucí po stezce. Je-li v místě křížení stezky pro chodce a cyklisty s jinou pozemní komunikací zřízen sdružený přechod pro chodce a přejezd pro cyklisty, použijí se ve vztahu k tomuto sdruženému přechodu pro chodce a přejezdu pro cyklisty pro jednotlivé účastníky provozu na pozemních komunikacích obdobně ustanovení upravující chování těchto účastníků provozu na přechodu pro chodce a na přejezdu pro cyklisty.</w:t>
      </w:r>
    </w:p>
    <w:p w:rsidR="009B70B4" w:rsidRPr="009B70B4" w:rsidRDefault="009B70B4" w:rsidP="003C30E9">
      <w:pPr>
        <w:pStyle w:val="Odstavecseseznamem"/>
        <w:numPr>
          <w:ilvl w:val="0"/>
          <w:numId w:val="4"/>
        </w:numPr>
        <w:shd w:val="clear" w:color="auto" w:fill="FFFFFF"/>
        <w:spacing w:after="0" w:line="240" w:lineRule="auto"/>
        <w:jc w:val="both"/>
      </w:pPr>
      <w:r w:rsidRPr="009B70B4">
        <w:t>Je-li zřízena stezka pro chodce a cyklisty označená dopravní značkou „Stezka pro chodce a cyklisty“, na které je oddělen pruh pro chodce a pruh pro cyklisty, je cyklista povinen užít pouze pruh vyznačený pro cyklisty. Pruh vyznačený pro chodce může cyklista užít pouze při objíždění, předjíždění, otáčení, odbočování a vjíždění na stezku pro chodce a cyklisty; přitom nesmí ohrozit chodce jdoucí v pruhu vyznačeném pro chodce.</w:t>
      </w:r>
    </w:p>
    <w:p w:rsidR="009B70B4" w:rsidRPr="009B70B4" w:rsidRDefault="009B70B4" w:rsidP="003C30E9">
      <w:pPr>
        <w:pStyle w:val="Odstavecseseznamem"/>
        <w:numPr>
          <w:ilvl w:val="0"/>
          <w:numId w:val="4"/>
        </w:numPr>
        <w:shd w:val="clear" w:color="auto" w:fill="FFFFFF"/>
        <w:spacing w:after="0" w:line="240" w:lineRule="auto"/>
        <w:jc w:val="both"/>
      </w:pPr>
      <w:r w:rsidRPr="009B70B4">
        <w:t>Vyhrazený jízdní pruh pro cyklisty nebo stezku pro cyklisty může užít i osoba pohybující se na lyžích nebo kolečkových bruslích nebo obdobném sportovním vybavení. Přitom je tato osoba povinna řídit se pravidly podle odstavců 2, 3, 5 a 6 a světelnými signály podle § 73.</w:t>
      </w:r>
    </w:p>
    <w:p w:rsidR="009B70B4" w:rsidRDefault="009B70B4" w:rsidP="003C30E9">
      <w:pPr>
        <w:pStyle w:val="Odstavecseseznamem"/>
        <w:numPr>
          <w:ilvl w:val="0"/>
          <w:numId w:val="4"/>
        </w:numPr>
        <w:shd w:val="clear" w:color="auto" w:fill="FFFFFF"/>
        <w:spacing w:after="0" w:line="240" w:lineRule="auto"/>
        <w:jc w:val="both"/>
      </w:pPr>
      <w:r w:rsidRPr="009B70B4">
        <w:t xml:space="preserve">Před vjezdem na přejezd pro cyklisty se cyklista musí přesvědčit, </w:t>
      </w:r>
      <w:proofErr w:type="gramStart"/>
      <w:r w:rsidRPr="009B70B4">
        <w:t>zda-</w:t>
      </w:r>
      <w:proofErr w:type="spellStart"/>
      <w:r w:rsidRPr="009B70B4">
        <w:t>li</w:t>
      </w:r>
      <w:proofErr w:type="spellEnd"/>
      <w:r w:rsidRPr="009B70B4">
        <w:t xml:space="preserve"> může</w:t>
      </w:r>
      <w:proofErr w:type="gramEnd"/>
      <w:r w:rsidRPr="009B70B4">
        <w:t xml:space="preserve"> vozovku přejet, aniž by ohrozil sebe i ostatní účastníky provozu na pozemních komunikacích, cyklista smí přejíždět vozovku, jen pokud s ohledem na vzdálenost a rychlost jízdy přijíždějících vozidel nedonutí jejich řidiče k náhlé změně směru nebo rychlosti jízdy. Na přejezdu pro cyklisty se jezdí vpravo.</w:t>
      </w:r>
    </w:p>
    <w:p w:rsidR="003C30E9" w:rsidRPr="009B70B4" w:rsidRDefault="003C30E9" w:rsidP="009B70B4">
      <w:pPr>
        <w:shd w:val="clear" w:color="auto" w:fill="FFFFFF"/>
        <w:spacing w:after="0" w:line="240" w:lineRule="auto"/>
        <w:ind w:firstLine="567"/>
        <w:jc w:val="both"/>
      </w:pPr>
    </w:p>
    <w:p w:rsidR="00C75821" w:rsidRDefault="00C75821" w:rsidP="00C75821">
      <w:pPr>
        <w:jc w:val="both"/>
      </w:pPr>
      <w:r>
        <w:t xml:space="preserve">§ 58 </w:t>
      </w:r>
    </w:p>
    <w:p w:rsidR="00D71265" w:rsidRPr="00D71265" w:rsidRDefault="00D71265" w:rsidP="00D71265">
      <w:pPr>
        <w:pStyle w:val="Odstavecseseznamem"/>
        <w:numPr>
          <w:ilvl w:val="0"/>
          <w:numId w:val="11"/>
        </w:numPr>
        <w:shd w:val="clear" w:color="auto" w:fill="FFFFFF"/>
        <w:spacing w:after="0" w:line="240" w:lineRule="auto"/>
        <w:jc w:val="both"/>
      </w:pPr>
      <w:r w:rsidRPr="00D71265">
        <w:t>Cyklista mladší 18 let je povinen za jízdy použít ochrannou přílbu schváleného typu podle zvláštního právního předpisu a mít ji nasazenou a řádně připevněnou na hlavě.</w:t>
      </w:r>
    </w:p>
    <w:p w:rsidR="00D71265" w:rsidRPr="00D71265" w:rsidRDefault="00D71265" w:rsidP="00D71265">
      <w:pPr>
        <w:pStyle w:val="Odstavecseseznamem"/>
        <w:numPr>
          <w:ilvl w:val="0"/>
          <w:numId w:val="11"/>
        </w:numPr>
        <w:shd w:val="clear" w:color="auto" w:fill="FFFFFF"/>
        <w:spacing w:after="0" w:line="240" w:lineRule="auto"/>
        <w:jc w:val="both"/>
      </w:pPr>
      <w:r w:rsidRPr="00D71265">
        <w:t>Dítě mladší 10 let smí na silnici, místní komunikaci a veřejně přístupné účelové komunikaci</w:t>
      </w:r>
      <w:hyperlink r:id="rId5" w:anchor="q1" w:tooltip="1)" w:history="1">
        <w:r w:rsidRPr="00D71265">
          <w:t>1)</w:t>
        </w:r>
      </w:hyperlink>
      <w:r w:rsidRPr="00D71265">
        <w:t> jet na jízdním kole jen pod dohledem osoby starší 15 let; to neplatí pro jízdu na chodníku, cyklistické stezce a v obytné a pěší zóně.</w:t>
      </w:r>
    </w:p>
    <w:p w:rsidR="00D71265" w:rsidRPr="00D71265" w:rsidRDefault="00D71265" w:rsidP="00D71265">
      <w:pPr>
        <w:pStyle w:val="Odstavecseseznamem"/>
        <w:numPr>
          <w:ilvl w:val="0"/>
          <w:numId w:val="11"/>
        </w:numPr>
        <w:shd w:val="clear" w:color="auto" w:fill="FFFFFF"/>
        <w:spacing w:after="0" w:line="240" w:lineRule="auto"/>
        <w:jc w:val="both"/>
      </w:pPr>
      <w:r w:rsidRPr="00D71265">
        <w:t>Na jednomístném jízdním kole není dovoleno jezdit ve dvou; je-li však jízdní kolo vybaveno pomocným sedadlem pro přepravu dítěte a pevnými opěrami pro nohy, smí osoba starší 15 let vézt osobu mladší 7 let. Osoba starší 18 let může vézt nejvýše dvě děti mladší 10 let v přívěsném vozíku určeném pro přepravu dětí, který splňuje technické podmínky stanovené zvláštním předpisem</w:t>
      </w:r>
      <w:hyperlink r:id="rId6" w:anchor="q2" w:tooltip="2)" w:history="1">
        <w:r w:rsidRPr="00D71265">
          <w:t>2)</w:t>
        </w:r>
      </w:hyperlink>
      <w:r w:rsidRPr="00D71265">
        <w:t> , nebo dítě na dětském kole připojeném k jízdnímu kolu spojovací tyčí.</w:t>
      </w:r>
    </w:p>
    <w:p w:rsidR="00D71265" w:rsidRPr="00D71265" w:rsidRDefault="00D71265" w:rsidP="00D71265">
      <w:pPr>
        <w:pStyle w:val="Odstavecseseznamem"/>
        <w:numPr>
          <w:ilvl w:val="0"/>
          <w:numId w:val="11"/>
        </w:numPr>
        <w:shd w:val="clear" w:color="auto" w:fill="FFFFFF"/>
        <w:spacing w:after="0" w:line="240" w:lineRule="auto"/>
        <w:jc w:val="both"/>
      </w:pPr>
      <w:r w:rsidRPr="00D71265">
        <w:t>Cyklista nesmí jet bez držení řídítek, držet se jiného vozidla, vést za jízdy druhé jízdní kolo, ruční vozík, psa nebo jiné zvíře a vozit předměty, které by znesnadňovaly řízení jízdního kola nebo ohrožovaly jiné účastníky provozu na pozemních komunikacích. Při jízdě musí mít cyklista nohy na šlapadlech.</w:t>
      </w:r>
    </w:p>
    <w:p w:rsidR="00D71265" w:rsidRPr="00D71265" w:rsidRDefault="00D71265" w:rsidP="00D71265">
      <w:pPr>
        <w:pStyle w:val="Odstavecseseznamem"/>
        <w:numPr>
          <w:ilvl w:val="0"/>
          <w:numId w:val="11"/>
        </w:numPr>
        <w:shd w:val="clear" w:color="auto" w:fill="FFFFFF"/>
        <w:spacing w:after="0" w:line="240" w:lineRule="auto"/>
        <w:jc w:val="both"/>
      </w:pPr>
      <w:r w:rsidRPr="00D71265">
        <w:lastRenderedPageBreak/>
        <w:t>Cyklista je povinen za snížené viditelnosti mít za jízdy rozsvícen světlomet s bílým světlem svítícím dopředu</w:t>
      </w:r>
      <w:hyperlink r:id="rId7" w:anchor="q2" w:tooltip="2)" w:history="1">
        <w:r w:rsidRPr="00D71265">
          <w:t>2)</w:t>
        </w:r>
      </w:hyperlink>
      <w:r w:rsidRPr="00D71265">
        <w:t> a zadní svítilnu se světlem červené barvy nebo přerušovaným světlem červené barvy. Je-li vozovka dostatečně a souvisle osvětlena, může cyklista použít náhradou za světlomet svítilnu bílé barvy s přerušovaným světlem.</w:t>
      </w:r>
    </w:p>
    <w:p w:rsidR="00D71265" w:rsidRPr="00D71265" w:rsidRDefault="00D71265" w:rsidP="00D71265">
      <w:pPr>
        <w:pStyle w:val="Odstavecseseznamem"/>
        <w:numPr>
          <w:ilvl w:val="0"/>
          <w:numId w:val="11"/>
        </w:numPr>
        <w:shd w:val="clear" w:color="auto" w:fill="FFFFFF"/>
        <w:spacing w:after="0" w:line="240" w:lineRule="auto"/>
        <w:jc w:val="both"/>
      </w:pPr>
      <w:r w:rsidRPr="00D71265">
        <w:t xml:space="preserve">K jízdnímu kolu se smí připojit přívěsný vozík, který není širší než 900 mm, má na zádi dvě červené odrazky </w:t>
      </w:r>
      <w:proofErr w:type="spellStart"/>
      <w:r w:rsidRPr="00D71265">
        <w:t>netrojúhelníkového</w:t>
      </w:r>
      <w:proofErr w:type="spellEnd"/>
      <w:r w:rsidRPr="00D71265">
        <w:t xml:space="preserve"> tvaru umístěné co nejblíže k bočním obrysům vozíku a je spojen s jízdním kolem pevným spojovacím zařízením. Zakrývá-li přívěsný vozík nebo jeho náklad za snížené viditelnosti zadní obrysové červené světlo jízdního kola, musí být přívěsný vozík opatřen vlevo na zádi červeným neoslňujícím světlem. Jsou-li v přívěsném vozíku přepravovány děti, musí být přívěsný vozík označen žlutým nebo oranžovým praporkem nebo štítkem o rozměru 300 x 300 mm vztyčeným ve výšce 1200 - 1600 mm nad úrovní vozovky.</w:t>
      </w:r>
    </w:p>
    <w:p w:rsidR="00D71265" w:rsidRPr="00D71265" w:rsidRDefault="00D71265" w:rsidP="00D71265">
      <w:pPr>
        <w:shd w:val="clear" w:color="auto" w:fill="FFFFFF"/>
        <w:spacing w:after="0" w:line="240" w:lineRule="auto"/>
        <w:jc w:val="both"/>
      </w:pPr>
    </w:p>
    <w:p w:rsidR="00D71265" w:rsidRDefault="00D71265" w:rsidP="00C75821">
      <w:pPr>
        <w:jc w:val="both"/>
      </w:pPr>
    </w:p>
    <w:p w:rsidR="005C6319" w:rsidRDefault="00C75821" w:rsidP="00C75821">
      <w:pPr>
        <w:jc w:val="both"/>
      </w:pPr>
      <w:r>
        <w:t xml:space="preserve">§ 60a Užívání osobního přepravníku </w:t>
      </w:r>
    </w:p>
    <w:p w:rsidR="005C6319" w:rsidRPr="005C6319" w:rsidRDefault="005C6319" w:rsidP="005C6319">
      <w:pPr>
        <w:pStyle w:val="Odstavecseseznamem"/>
        <w:numPr>
          <w:ilvl w:val="0"/>
          <w:numId w:val="13"/>
        </w:numPr>
        <w:shd w:val="clear" w:color="auto" w:fill="FFFFFF"/>
        <w:spacing w:after="0" w:line="240" w:lineRule="auto"/>
        <w:jc w:val="both"/>
      </w:pPr>
      <w:bookmarkStart w:id="0" w:name="_GoBack"/>
      <w:r w:rsidRPr="005C6319">
        <w:t xml:space="preserve">Na osobním přepravníku se </w:t>
      </w:r>
      <w:proofErr w:type="spellStart"/>
      <w:r w:rsidRPr="005C6319">
        <w:t>samovyvažovacím</w:t>
      </w:r>
      <w:proofErr w:type="spellEnd"/>
      <w:r w:rsidRPr="005C6319">
        <w:t xml:space="preserve"> zařízením nebo obdobném technickém zařízení (dále jen „osobní přepravník“) se lze na chodníku, stezce pro chodce, stezce pro chodce a cyklisty nebo na odděleném pruhu pro chodce na stezce pro chodce a cyklisty nebo na pěších a obytných zónách pohybovat nejvýše rychlostí srovnatelnou s rychlostí chůze. Pro přejíždění vozovky na osobním přepravníku se § 54 odst. 2 až 4 použijí obdobně. Je-li blíže než 50 m křižovatka s řízeným provozem nebo přechod pro chodce, smí osoba na osobním přepravníku přejíždět vozovku jen na těchto místech. Pro přejíždění železničního přejezdu na osobním přepravníku se § 55 použije obdobně.</w:t>
      </w:r>
    </w:p>
    <w:p w:rsidR="005C6319" w:rsidRPr="005C6319" w:rsidRDefault="005C6319" w:rsidP="005C6319">
      <w:pPr>
        <w:pStyle w:val="Odstavecseseznamem"/>
        <w:numPr>
          <w:ilvl w:val="0"/>
          <w:numId w:val="13"/>
        </w:numPr>
        <w:shd w:val="clear" w:color="auto" w:fill="FFFFFF"/>
        <w:spacing w:after="0" w:line="240" w:lineRule="auto"/>
        <w:jc w:val="both"/>
      </w:pPr>
      <w:r w:rsidRPr="005C6319">
        <w:t>Pro užití jízdního pruhu vyhrazeného pro cyklisty, stezky pro cyklisty nebo odděleného pruhu pro cyklisty na stezce pro chodce a cyklisty osobou na osobním přepravníku se § 57 odst. 2, 3 a 8 a § 73 použijí obdobně.</w:t>
      </w:r>
    </w:p>
    <w:p w:rsidR="005C6319" w:rsidRPr="005C6319" w:rsidRDefault="005C6319" w:rsidP="005C6319">
      <w:pPr>
        <w:pStyle w:val="Odstavecseseznamem"/>
        <w:numPr>
          <w:ilvl w:val="0"/>
          <w:numId w:val="13"/>
        </w:numPr>
        <w:shd w:val="clear" w:color="auto" w:fill="FFFFFF"/>
        <w:spacing w:after="0" w:line="240" w:lineRule="auto"/>
        <w:jc w:val="both"/>
      </w:pPr>
      <w:r w:rsidRPr="005C6319">
        <w:t>Kde není chodník, stezka pro chodce, stezka pro chodce a cyklisty, jízdní pruh vyhrazený pro cyklisty nebo stezka pro cyklisty nebo kde je chodník neschůdný, smí se osoba na osobním přepravníku pohybovat po levé krajnici nebo co nejblíže při levém okraji vozovky. Osoby na osobním přepravníku se v takovém případě smí pohybovat jen jednotlivě za sebou; § 53 odst. 9 se použije obdobně.</w:t>
      </w:r>
    </w:p>
    <w:p w:rsidR="005C6319" w:rsidRPr="005C6319" w:rsidRDefault="005C6319" w:rsidP="005C6319">
      <w:pPr>
        <w:pStyle w:val="Odstavecseseznamem"/>
        <w:numPr>
          <w:ilvl w:val="0"/>
          <w:numId w:val="13"/>
        </w:numPr>
        <w:shd w:val="clear" w:color="auto" w:fill="FFFFFF"/>
        <w:spacing w:after="0" w:line="240" w:lineRule="auto"/>
        <w:jc w:val="both"/>
      </w:pPr>
      <w:r w:rsidRPr="005C6319">
        <w:t>Osoba na osobním přepravníku nesmí na chodníku, stezce pro chodce, stezce pro chodce a cyklisty, jízdním pruhu vyhrazeném pro cyklisty nebo stezce pro cyklisty nebo na pěších a obytných zónách ohrozit chodce nebo cyklisty. Při přejíždění vozovky na osobním přepravníku se § 5 odst. 2 písm. f) až h) použijí obdobně.</w:t>
      </w:r>
    </w:p>
    <w:p w:rsidR="005C6319" w:rsidRPr="005C6319" w:rsidRDefault="005C6319" w:rsidP="005C6319">
      <w:pPr>
        <w:pStyle w:val="Odstavecseseznamem"/>
        <w:numPr>
          <w:ilvl w:val="0"/>
          <w:numId w:val="13"/>
        </w:numPr>
        <w:shd w:val="clear" w:color="auto" w:fill="FFFFFF"/>
        <w:spacing w:after="0" w:line="240" w:lineRule="auto"/>
        <w:jc w:val="both"/>
      </w:pPr>
      <w:r w:rsidRPr="005C6319">
        <w:t>Obec může nařízením vymezit na svém území místa, kde je provozování osobního přepravníku na chodníku, stezce pro chodce, stezce pro chodce a cyklisty, na odděleném pruhu pro chodce na stezce pro chodce a cyklisty, na pěších a obytných zónách nebo vozovce zakázáno.</w:t>
      </w:r>
    </w:p>
    <w:p w:rsidR="005C6319" w:rsidRPr="005C6319" w:rsidRDefault="005C6319" w:rsidP="005C6319">
      <w:pPr>
        <w:pStyle w:val="Odstavecseseznamem"/>
        <w:numPr>
          <w:ilvl w:val="0"/>
          <w:numId w:val="13"/>
        </w:numPr>
        <w:shd w:val="clear" w:color="auto" w:fill="FFFFFF"/>
        <w:spacing w:after="0" w:line="240" w:lineRule="auto"/>
        <w:jc w:val="both"/>
      </w:pPr>
      <w:r w:rsidRPr="005C6319">
        <w:t>V případě vymezení území místa, kde je provozování osobního přepravníku na chodníku, stezce pro chodce, stezce pro chodce a cyklisty, na odděleném pruhu pro chodce na stezce pro chodce a cyklisty, na pěších a obytných zónách nebo vozovce zakázáno, je obec povinna vyznačit území dopravní značkou.</w:t>
      </w:r>
    </w:p>
    <w:p w:rsidR="005C6319" w:rsidRPr="005C6319" w:rsidRDefault="005C6319" w:rsidP="005C6319">
      <w:pPr>
        <w:pStyle w:val="Odstavecseseznamem"/>
        <w:numPr>
          <w:ilvl w:val="0"/>
          <w:numId w:val="13"/>
        </w:numPr>
        <w:shd w:val="clear" w:color="auto" w:fill="FFFFFF"/>
        <w:spacing w:after="0" w:line="240" w:lineRule="auto"/>
        <w:jc w:val="both"/>
      </w:pPr>
      <w:r w:rsidRPr="005C6319">
        <w:t>Zákaz provozování osobního přepravníku uložený nařízením obce se nevztahuje na Policii České republiky a obecní policii při plnění jejich povinností; osoba užívající osobní přepravník je však povinna neohrozit bezpečnost a plynulost na pozemních komunikacích.</w:t>
      </w:r>
    </w:p>
    <w:bookmarkEnd w:id="0"/>
    <w:p w:rsidR="00C75821" w:rsidRDefault="00C75821" w:rsidP="005C6319">
      <w:pPr>
        <w:jc w:val="both"/>
      </w:pPr>
    </w:p>
    <w:sectPr w:rsidR="00C758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D66D6"/>
    <w:multiLevelType w:val="hybridMultilevel"/>
    <w:tmpl w:val="F1A86186"/>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2BB460B"/>
    <w:multiLevelType w:val="hybridMultilevel"/>
    <w:tmpl w:val="BA283F40"/>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67F3F96"/>
    <w:multiLevelType w:val="hybridMultilevel"/>
    <w:tmpl w:val="A0A09D6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E914AC5"/>
    <w:multiLevelType w:val="hybridMultilevel"/>
    <w:tmpl w:val="56AC777C"/>
    <w:lvl w:ilvl="0" w:tplc="445CE18C">
      <w:start w:val="1"/>
      <w:numFmt w:val="lowerRoman"/>
      <w:lvlText w:val="%1)"/>
      <w:lvlJc w:val="left"/>
      <w:pPr>
        <w:ind w:left="768" w:hanging="720"/>
      </w:pPr>
      <w:rPr>
        <w:rFonts w:hint="default"/>
      </w:rPr>
    </w:lvl>
    <w:lvl w:ilvl="1" w:tplc="04050019" w:tentative="1">
      <w:start w:val="1"/>
      <w:numFmt w:val="lowerLetter"/>
      <w:lvlText w:val="%2."/>
      <w:lvlJc w:val="left"/>
      <w:pPr>
        <w:ind w:left="1128" w:hanging="360"/>
      </w:pPr>
    </w:lvl>
    <w:lvl w:ilvl="2" w:tplc="0405001B" w:tentative="1">
      <w:start w:val="1"/>
      <w:numFmt w:val="lowerRoman"/>
      <w:lvlText w:val="%3."/>
      <w:lvlJc w:val="right"/>
      <w:pPr>
        <w:ind w:left="1848" w:hanging="180"/>
      </w:pPr>
    </w:lvl>
    <w:lvl w:ilvl="3" w:tplc="0405000F" w:tentative="1">
      <w:start w:val="1"/>
      <w:numFmt w:val="decimal"/>
      <w:lvlText w:val="%4."/>
      <w:lvlJc w:val="left"/>
      <w:pPr>
        <w:ind w:left="2568" w:hanging="360"/>
      </w:pPr>
    </w:lvl>
    <w:lvl w:ilvl="4" w:tplc="04050019" w:tentative="1">
      <w:start w:val="1"/>
      <w:numFmt w:val="lowerLetter"/>
      <w:lvlText w:val="%5."/>
      <w:lvlJc w:val="left"/>
      <w:pPr>
        <w:ind w:left="3288" w:hanging="360"/>
      </w:pPr>
    </w:lvl>
    <w:lvl w:ilvl="5" w:tplc="0405001B" w:tentative="1">
      <w:start w:val="1"/>
      <w:numFmt w:val="lowerRoman"/>
      <w:lvlText w:val="%6."/>
      <w:lvlJc w:val="right"/>
      <w:pPr>
        <w:ind w:left="4008" w:hanging="180"/>
      </w:pPr>
    </w:lvl>
    <w:lvl w:ilvl="6" w:tplc="0405000F" w:tentative="1">
      <w:start w:val="1"/>
      <w:numFmt w:val="decimal"/>
      <w:lvlText w:val="%7."/>
      <w:lvlJc w:val="left"/>
      <w:pPr>
        <w:ind w:left="4728" w:hanging="360"/>
      </w:pPr>
    </w:lvl>
    <w:lvl w:ilvl="7" w:tplc="04050019" w:tentative="1">
      <w:start w:val="1"/>
      <w:numFmt w:val="lowerLetter"/>
      <w:lvlText w:val="%8."/>
      <w:lvlJc w:val="left"/>
      <w:pPr>
        <w:ind w:left="5448" w:hanging="360"/>
      </w:pPr>
    </w:lvl>
    <w:lvl w:ilvl="8" w:tplc="0405001B" w:tentative="1">
      <w:start w:val="1"/>
      <w:numFmt w:val="lowerRoman"/>
      <w:lvlText w:val="%9."/>
      <w:lvlJc w:val="right"/>
      <w:pPr>
        <w:ind w:left="6168" w:hanging="180"/>
      </w:pPr>
    </w:lvl>
  </w:abstractNum>
  <w:abstractNum w:abstractNumId="4" w15:restartNumberingAfterBreak="0">
    <w:nsid w:val="29FF65B4"/>
    <w:multiLevelType w:val="hybridMultilevel"/>
    <w:tmpl w:val="239C9E74"/>
    <w:lvl w:ilvl="0" w:tplc="04050011">
      <w:start w:val="1"/>
      <w:numFmt w:val="decimal"/>
      <w:lvlText w:val="%1)"/>
      <w:lvlJc w:val="left"/>
      <w:pPr>
        <w:ind w:left="720" w:hanging="360"/>
      </w:pPr>
    </w:lvl>
    <w:lvl w:ilvl="1" w:tplc="5906CEA4">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DCD2F9B"/>
    <w:multiLevelType w:val="hybridMultilevel"/>
    <w:tmpl w:val="221E547E"/>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1935DDD"/>
    <w:multiLevelType w:val="hybridMultilevel"/>
    <w:tmpl w:val="828460F8"/>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B8443DE"/>
    <w:multiLevelType w:val="hybridMultilevel"/>
    <w:tmpl w:val="A63019C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33426EC"/>
    <w:multiLevelType w:val="hybridMultilevel"/>
    <w:tmpl w:val="F0407D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AF528F5"/>
    <w:multiLevelType w:val="hybridMultilevel"/>
    <w:tmpl w:val="FC9ECFB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5A41379"/>
    <w:multiLevelType w:val="hybridMultilevel"/>
    <w:tmpl w:val="57524098"/>
    <w:lvl w:ilvl="0" w:tplc="4178FF9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B8108A3"/>
    <w:multiLevelType w:val="hybridMultilevel"/>
    <w:tmpl w:val="133E92F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E001F31"/>
    <w:multiLevelType w:val="hybridMultilevel"/>
    <w:tmpl w:val="8BBAE216"/>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2"/>
  </w:num>
  <w:num w:numId="3">
    <w:abstractNumId w:val="3"/>
  </w:num>
  <w:num w:numId="4">
    <w:abstractNumId w:val="4"/>
  </w:num>
  <w:num w:numId="5">
    <w:abstractNumId w:val="10"/>
  </w:num>
  <w:num w:numId="6">
    <w:abstractNumId w:val="12"/>
  </w:num>
  <w:num w:numId="7">
    <w:abstractNumId w:val="5"/>
  </w:num>
  <w:num w:numId="8">
    <w:abstractNumId w:val="1"/>
  </w:num>
  <w:num w:numId="9">
    <w:abstractNumId w:val="6"/>
  </w:num>
  <w:num w:numId="10">
    <w:abstractNumId w:val="9"/>
  </w:num>
  <w:num w:numId="11">
    <w:abstractNumId w:val="7"/>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C9B"/>
    <w:rsid w:val="001C21F4"/>
    <w:rsid w:val="003C30E9"/>
    <w:rsid w:val="005C6319"/>
    <w:rsid w:val="00863E56"/>
    <w:rsid w:val="009B70B4"/>
    <w:rsid w:val="009C5AD4"/>
    <w:rsid w:val="00C75821"/>
    <w:rsid w:val="00D71265"/>
    <w:rsid w:val="00F06E40"/>
    <w:rsid w:val="00F32C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B3F3F"/>
  <w15:chartTrackingRefBased/>
  <w15:docId w15:val="{D4659462-8C1D-48CD-B333-A42386EEF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1C21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32C9B"/>
    <w:pPr>
      <w:ind w:left="720"/>
      <w:contextualSpacing/>
    </w:pPr>
  </w:style>
  <w:style w:type="character" w:customStyle="1" w:styleId="Nadpis1Char">
    <w:name w:val="Nadpis 1 Char"/>
    <w:basedOn w:val="Standardnpsmoodstavce"/>
    <w:link w:val="Nadpis1"/>
    <w:uiPriority w:val="9"/>
    <w:rsid w:val="001C21F4"/>
    <w:rPr>
      <w:rFonts w:ascii="Times New Roman" w:eastAsia="Times New Roman" w:hAnsi="Times New Roman" w:cs="Times New Roman"/>
      <w:b/>
      <w:bCs/>
      <w:kern w:val="36"/>
      <w:sz w:val="48"/>
      <w:szCs w:val="48"/>
      <w:lang w:eastAsia="cs-CZ"/>
    </w:rPr>
  </w:style>
  <w:style w:type="character" w:customStyle="1" w:styleId="p1name">
    <w:name w:val="p1name"/>
    <w:basedOn w:val="Standardnpsmoodstavce"/>
    <w:rsid w:val="001C21F4"/>
  </w:style>
  <w:style w:type="character" w:customStyle="1" w:styleId="name-space">
    <w:name w:val="name-space"/>
    <w:basedOn w:val="Standardnpsmoodstavce"/>
    <w:rsid w:val="001C21F4"/>
  </w:style>
  <w:style w:type="character" w:styleId="Hypertextovodkaz">
    <w:name w:val="Hyperlink"/>
    <w:basedOn w:val="Standardnpsmoodstavce"/>
    <w:uiPriority w:val="99"/>
    <w:semiHidden/>
    <w:unhideWhenUsed/>
    <w:rsid w:val="00D71265"/>
    <w:rPr>
      <w:color w:val="0000FF"/>
      <w:u w:val="single"/>
    </w:rPr>
  </w:style>
  <w:style w:type="character" w:customStyle="1" w:styleId="ftnname">
    <w:name w:val="ftnname"/>
    <w:basedOn w:val="Standardnpsmoodstavce"/>
    <w:rsid w:val="00D712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605498">
      <w:bodyDiv w:val="1"/>
      <w:marLeft w:val="0"/>
      <w:marRight w:val="0"/>
      <w:marTop w:val="0"/>
      <w:marBottom w:val="0"/>
      <w:divBdr>
        <w:top w:val="none" w:sz="0" w:space="0" w:color="auto"/>
        <w:left w:val="none" w:sz="0" w:space="0" w:color="auto"/>
        <w:bottom w:val="none" w:sz="0" w:space="0" w:color="auto"/>
        <w:right w:val="none" w:sz="0" w:space="0" w:color="auto"/>
      </w:divBdr>
      <w:divsChild>
        <w:div w:id="1409033203">
          <w:marLeft w:val="0"/>
          <w:marRight w:val="0"/>
          <w:marTop w:val="120"/>
          <w:marBottom w:val="0"/>
          <w:divBdr>
            <w:top w:val="none" w:sz="0" w:space="0" w:color="auto"/>
            <w:left w:val="none" w:sz="0" w:space="0" w:color="auto"/>
            <w:bottom w:val="none" w:sz="0" w:space="0" w:color="auto"/>
            <w:right w:val="none" w:sz="0" w:space="0" w:color="auto"/>
          </w:divBdr>
        </w:div>
        <w:div w:id="947660510">
          <w:marLeft w:val="0"/>
          <w:marRight w:val="0"/>
          <w:marTop w:val="120"/>
          <w:marBottom w:val="0"/>
          <w:divBdr>
            <w:top w:val="none" w:sz="0" w:space="0" w:color="auto"/>
            <w:left w:val="none" w:sz="0" w:space="0" w:color="auto"/>
            <w:bottom w:val="none" w:sz="0" w:space="0" w:color="auto"/>
            <w:right w:val="none" w:sz="0" w:space="0" w:color="auto"/>
          </w:divBdr>
        </w:div>
        <w:div w:id="916523841">
          <w:marLeft w:val="0"/>
          <w:marRight w:val="0"/>
          <w:marTop w:val="120"/>
          <w:marBottom w:val="0"/>
          <w:divBdr>
            <w:top w:val="none" w:sz="0" w:space="0" w:color="auto"/>
            <w:left w:val="none" w:sz="0" w:space="0" w:color="auto"/>
            <w:bottom w:val="none" w:sz="0" w:space="0" w:color="auto"/>
            <w:right w:val="none" w:sz="0" w:space="0" w:color="auto"/>
          </w:divBdr>
        </w:div>
        <w:div w:id="908227359">
          <w:marLeft w:val="0"/>
          <w:marRight w:val="0"/>
          <w:marTop w:val="120"/>
          <w:marBottom w:val="0"/>
          <w:divBdr>
            <w:top w:val="none" w:sz="0" w:space="0" w:color="auto"/>
            <w:left w:val="none" w:sz="0" w:space="0" w:color="auto"/>
            <w:bottom w:val="none" w:sz="0" w:space="0" w:color="auto"/>
            <w:right w:val="none" w:sz="0" w:space="0" w:color="auto"/>
          </w:divBdr>
        </w:div>
        <w:div w:id="228617312">
          <w:marLeft w:val="0"/>
          <w:marRight w:val="0"/>
          <w:marTop w:val="120"/>
          <w:marBottom w:val="0"/>
          <w:divBdr>
            <w:top w:val="none" w:sz="0" w:space="0" w:color="auto"/>
            <w:left w:val="none" w:sz="0" w:space="0" w:color="auto"/>
            <w:bottom w:val="none" w:sz="0" w:space="0" w:color="auto"/>
            <w:right w:val="none" w:sz="0" w:space="0" w:color="auto"/>
          </w:divBdr>
        </w:div>
        <w:div w:id="920797332">
          <w:marLeft w:val="0"/>
          <w:marRight w:val="0"/>
          <w:marTop w:val="120"/>
          <w:marBottom w:val="0"/>
          <w:divBdr>
            <w:top w:val="none" w:sz="0" w:space="0" w:color="auto"/>
            <w:left w:val="none" w:sz="0" w:space="0" w:color="auto"/>
            <w:bottom w:val="none" w:sz="0" w:space="0" w:color="auto"/>
            <w:right w:val="none" w:sz="0" w:space="0" w:color="auto"/>
          </w:divBdr>
        </w:div>
        <w:div w:id="99683322">
          <w:marLeft w:val="0"/>
          <w:marRight w:val="0"/>
          <w:marTop w:val="120"/>
          <w:marBottom w:val="0"/>
          <w:divBdr>
            <w:top w:val="none" w:sz="0" w:space="0" w:color="auto"/>
            <w:left w:val="none" w:sz="0" w:space="0" w:color="auto"/>
            <w:bottom w:val="none" w:sz="0" w:space="0" w:color="auto"/>
            <w:right w:val="none" w:sz="0" w:space="0" w:color="auto"/>
          </w:divBdr>
        </w:div>
      </w:divsChild>
    </w:div>
    <w:div w:id="264963664">
      <w:bodyDiv w:val="1"/>
      <w:marLeft w:val="0"/>
      <w:marRight w:val="0"/>
      <w:marTop w:val="0"/>
      <w:marBottom w:val="0"/>
      <w:divBdr>
        <w:top w:val="none" w:sz="0" w:space="0" w:color="auto"/>
        <w:left w:val="none" w:sz="0" w:space="0" w:color="auto"/>
        <w:bottom w:val="none" w:sz="0" w:space="0" w:color="auto"/>
        <w:right w:val="none" w:sz="0" w:space="0" w:color="auto"/>
      </w:divBdr>
      <w:divsChild>
        <w:div w:id="1917548572">
          <w:marLeft w:val="0"/>
          <w:marRight w:val="0"/>
          <w:marTop w:val="120"/>
          <w:marBottom w:val="0"/>
          <w:divBdr>
            <w:top w:val="none" w:sz="0" w:space="0" w:color="auto"/>
            <w:left w:val="none" w:sz="0" w:space="0" w:color="auto"/>
            <w:bottom w:val="none" w:sz="0" w:space="0" w:color="auto"/>
            <w:right w:val="none" w:sz="0" w:space="0" w:color="auto"/>
          </w:divBdr>
        </w:div>
        <w:div w:id="2100180089">
          <w:marLeft w:val="0"/>
          <w:marRight w:val="0"/>
          <w:marTop w:val="120"/>
          <w:marBottom w:val="0"/>
          <w:divBdr>
            <w:top w:val="none" w:sz="0" w:space="0" w:color="auto"/>
            <w:left w:val="none" w:sz="0" w:space="0" w:color="auto"/>
            <w:bottom w:val="none" w:sz="0" w:space="0" w:color="auto"/>
            <w:right w:val="none" w:sz="0" w:space="0" w:color="auto"/>
          </w:divBdr>
        </w:div>
        <w:div w:id="507208180">
          <w:marLeft w:val="0"/>
          <w:marRight w:val="0"/>
          <w:marTop w:val="120"/>
          <w:marBottom w:val="0"/>
          <w:divBdr>
            <w:top w:val="none" w:sz="0" w:space="0" w:color="auto"/>
            <w:left w:val="none" w:sz="0" w:space="0" w:color="auto"/>
            <w:bottom w:val="none" w:sz="0" w:space="0" w:color="auto"/>
            <w:right w:val="none" w:sz="0" w:space="0" w:color="auto"/>
          </w:divBdr>
        </w:div>
        <w:div w:id="7607410">
          <w:marLeft w:val="0"/>
          <w:marRight w:val="0"/>
          <w:marTop w:val="120"/>
          <w:marBottom w:val="0"/>
          <w:divBdr>
            <w:top w:val="none" w:sz="0" w:space="0" w:color="auto"/>
            <w:left w:val="none" w:sz="0" w:space="0" w:color="auto"/>
            <w:bottom w:val="none" w:sz="0" w:space="0" w:color="auto"/>
            <w:right w:val="none" w:sz="0" w:space="0" w:color="auto"/>
          </w:divBdr>
        </w:div>
        <w:div w:id="1527332372">
          <w:marLeft w:val="0"/>
          <w:marRight w:val="0"/>
          <w:marTop w:val="120"/>
          <w:marBottom w:val="0"/>
          <w:divBdr>
            <w:top w:val="none" w:sz="0" w:space="0" w:color="auto"/>
            <w:left w:val="none" w:sz="0" w:space="0" w:color="auto"/>
            <w:bottom w:val="none" w:sz="0" w:space="0" w:color="auto"/>
            <w:right w:val="none" w:sz="0" w:space="0" w:color="auto"/>
          </w:divBdr>
        </w:div>
        <w:div w:id="538129939">
          <w:marLeft w:val="0"/>
          <w:marRight w:val="0"/>
          <w:marTop w:val="120"/>
          <w:marBottom w:val="0"/>
          <w:divBdr>
            <w:top w:val="none" w:sz="0" w:space="0" w:color="auto"/>
            <w:left w:val="none" w:sz="0" w:space="0" w:color="auto"/>
            <w:bottom w:val="none" w:sz="0" w:space="0" w:color="auto"/>
            <w:right w:val="none" w:sz="0" w:space="0" w:color="auto"/>
          </w:divBdr>
        </w:div>
        <w:div w:id="439185109">
          <w:marLeft w:val="0"/>
          <w:marRight w:val="0"/>
          <w:marTop w:val="120"/>
          <w:marBottom w:val="0"/>
          <w:divBdr>
            <w:top w:val="none" w:sz="0" w:space="0" w:color="auto"/>
            <w:left w:val="none" w:sz="0" w:space="0" w:color="auto"/>
            <w:bottom w:val="none" w:sz="0" w:space="0" w:color="auto"/>
            <w:right w:val="none" w:sz="0" w:space="0" w:color="auto"/>
          </w:divBdr>
        </w:div>
        <w:div w:id="373508025">
          <w:marLeft w:val="0"/>
          <w:marRight w:val="0"/>
          <w:marTop w:val="120"/>
          <w:marBottom w:val="0"/>
          <w:divBdr>
            <w:top w:val="none" w:sz="0" w:space="0" w:color="auto"/>
            <w:left w:val="none" w:sz="0" w:space="0" w:color="auto"/>
            <w:bottom w:val="none" w:sz="0" w:space="0" w:color="auto"/>
            <w:right w:val="none" w:sz="0" w:space="0" w:color="auto"/>
          </w:divBdr>
        </w:div>
      </w:divsChild>
    </w:div>
    <w:div w:id="496388069">
      <w:bodyDiv w:val="1"/>
      <w:marLeft w:val="0"/>
      <w:marRight w:val="0"/>
      <w:marTop w:val="0"/>
      <w:marBottom w:val="0"/>
      <w:divBdr>
        <w:top w:val="none" w:sz="0" w:space="0" w:color="auto"/>
        <w:left w:val="none" w:sz="0" w:space="0" w:color="auto"/>
        <w:bottom w:val="none" w:sz="0" w:space="0" w:color="auto"/>
        <w:right w:val="none" w:sz="0" w:space="0" w:color="auto"/>
      </w:divBdr>
    </w:div>
    <w:div w:id="1334724405">
      <w:bodyDiv w:val="1"/>
      <w:marLeft w:val="0"/>
      <w:marRight w:val="0"/>
      <w:marTop w:val="0"/>
      <w:marBottom w:val="0"/>
      <w:divBdr>
        <w:top w:val="none" w:sz="0" w:space="0" w:color="auto"/>
        <w:left w:val="none" w:sz="0" w:space="0" w:color="auto"/>
        <w:bottom w:val="none" w:sz="0" w:space="0" w:color="auto"/>
        <w:right w:val="none" w:sz="0" w:space="0" w:color="auto"/>
      </w:divBdr>
      <w:divsChild>
        <w:div w:id="1520269444">
          <w:marLeft w:val="0"/>
          <w:marRight w:val="0"/>
          <w:marTop w:val="120"/>
          <w:marBottom w:val="0"/>
          <w:divBdr>
            <w:top w:val="none" w:sz="0" w:space="0" w:color="auto"/>
            <w:left w:val="none" w:sz="0" w:space="0" w:color="auto"/>
            <w:bottom w:val="none" w:sz="0" w:space="0" w:color="auto"/>
            <w:right w:val="none" w:sz="0" w:space="0" w:color="auto"/>
          </w:divBdr>
        </w:div>
        <w:div w:id="28992319">
          <w:marLeft w:val="0"/>
          <w:marRight w:val="0"/>
          <w:marTop w:val="120"/>
          <w:marBottom w:val="0"/>
          <w:divBdr>
            <w:top w:val="none" w:sz="0" w:space="0" w:color="auto"/>
            <w:left w:val="none" w:sz="0" w:space="0" w:color="auto"/>
            <w:bottom w:val="none" w:sz="0" w:space="0" w:color="auto"/>
            <w:right w:val="none" w:sz="0" w:space="0" w:color="auto"/>
          </w:divBdr>
        </w:div>
        <w:div w:id="308096029">
          <w:marLeft w:val="0"/>
          <w:marRight w:val="0"/>
          <w:marTop w:val="120"/>
          <w:marBottom w:val="0"/>
          <w:divBdr>
            <w:top w:val="none" w:sz="0" w:space="0" w:color="auto"/>
            <w:left w:val="none" w:sz="0" w:space="0" w:color="auto"/>
            <w:bottom w:val="none" w:sz="0" w:space="0" w:color="auto"/>
            <w:right w:val="none" w:sz="0" w:space="0" w:color="auto"/>
          </w:divBdr>
        </w:div>
        <w:div w:id="1598555537">
          <w:marLeft w:val="0"/>
          <w:marRight w:val="0"/>
          <w:marTop w:val="120"/>
          <w:marBottom w:val="0"/>
          <w:divBdr>
            <w:top w:val="none" w:sz="0" w:space="0" w:color="auto"/>
            <w:left w:val="none" w:sz="0" w:space="0" w:color="auto"/>
            <w:bottom w:val="none" w:sz="0" w:space="0" w:color="auto"/>
            <w:right w:val="none" w:sz="0" w:space="0" w:color="auto"/>
          </w:divBdr>
        </w:div>
        <w:div w:id="229119387">
          <w:marLeft w:val="0"/>
          <w:marRight w:val="0"/>
          <w:marTop w:val="120"/>
          <w:marBottom w:val="0"/>
          <w:divBdr>
            <w:top w:val="none" w:sz="0" w:space="0" w:color="auto"/>
            <w:left w:val="none" w:sz="0" w:space="0" w:color="auto"/>
            <w:bottom w:val="none" w:sz="0" w:space="0" w:color="auto"/>
            <w:right w:val="none" w:sz="0" w:space="0" w:color="auto"/>
          </w:divBdr>
        </w:div>
        <w:div w:id="1745950117">
          <w:marLeft w:val="0"/>
          <w:marRight w:val="0"/>
          <w:marTop w:val="120"/>
          <w:marBottom w:val="0"/>
          <w:divBdr>
            <w:top w:val="none" w:sz="0" w:space="0" w:color="auto"/>
            <w:left w:val="none" w:sz="0" w:space="0" w:color="auto"/>
            <w:bottom w:val="none" w:sz="0" w:space="0" w:color="auto"/>
            <w:right w:val="none" w:sz="0" w:space="0" w:color="auto"/>
          </w:divBdr>
        </w:div>
        <w:div w:id="1533107385">
          <w:marLeft w:val="0"/>
          <w:marRight w:val="0"/>
          <w:marTop w:val="120"/>
          <w:marBottom w:val="0"/>
          <w:divBdr>
            <w:top w:val="none" w:sz="0" w:space="0" w:color="auto"/>
            <w:left w:val="none" w:sz="0" w:space="0" w:color="auto"/>
            <w:bottom w:val="none" w:sz="0" w:space="0" w:color="auto"/>
            <w:right w:val="none" w:sz="0" w:space="0" w:color="auto"/>
          </w:divBdr>
          <w:divsChild>
            <w:div w:id="1690790778">
              <w:marLeft w:val="397"/>
              <w:marRight w:val="0"/>
              <w:marTop w:val="0"/>
              <w:marBottom w:val="0"/>
              <w:divBdr>
                <w:top w:val="none" w:sz="0" w:space="0" w:color="auto"/>
                <w:left w:val="none" w:sz="0" w:space="0" w:color="auto"/>
                <w:bottom w:val="none" w:sz="0" w:space="0" w:color="auto"/>
                <w:right w:val="none" w:sz="0" w:space="0" w:color="auto"/>
              </w:divBdr>
            </w:div>
            <w:div w:id="1228421109">
              <w:marLeft w:val="397"/>
              <w:marRight w:val="0"/>
              <w:marTop w:val="0"/>
              <w:marBottom w:val="0"/>
              <w:divBdr>
                <w:top w:val="none" w:sz="0" w:space="0" w:color="auto"/>
                <w:left w:val="none" w:sz="0" w:space="0" w:color="auto"/>
                <w:bottom w:val="none" w:sz="0" w:space="0" w:color="auto"/>
                <w:right w:val="none" w:sz="0" w:space="0" w:color="auto"/>
              </w:divBdr>
            </w:div>
          </w:divsChild>
        </w:div>
      </w:divsChild>
    </w:div>
    <w:div w:id="1959872485">
      <w:bodyDiv w:val="1"/>
      <w:marLeft w:val="0"/>
      <w:marRight w:val="0"/>
      <w:marTop w:val="0"/>
      <w:marBottom w:val="0"/>
      <w:divBdr>
        <w:top w:val="none" w:sz="0" w:space="0" w:color="auto"/>
        <w:left w:val="none" w:sz="0" w:space="0" w:color="auto"/>
        <w:bottom w:val="none" w:sz="0" w:space="0" w:color="auto"/>
        <w:right w:val="none" w:sz="0" w:space="0" w:color="auto"/>
      </w:divBdr>
      <w:divsChild>
        <w:div w:id="1381321113">
          <w:marLeft w:val="567"/>
          <w:marRight w:val="0"/>
          <w:marTop w:val="60"/>
          <w:marBottom w:val="0"/>
          <w:divBdr>
            <w:top w:val="none" w:sz="0" w:space="0" w:color="auto"/>
            <w:left w:val="none" w:sz="0" w:space="0" w:color="auto"/>
            <w:bottom w:val="none" w:sz="0" w:space="0" w:color="auto"/>
            <w:right w:val="none" w:sz="0" w:space="0" w:color="auto"/>
          </w:divBdr>
        </w:div>
        <w:div w:id="482310071">
          <w:marLeft w:val="567"/>
          <w:marRight w:val="0"/>
          <w:marTop w:val="60"/>
          <w:marBottom w:val="0"/>
          <w:divBdr>
            <w:top w:val="none" w:sz="0" w:space="0" w:color="auto"/>
            <w:left w:val="none" w:sz="0" w:space="0" w:color="auto"/>
            <w:bottom w:val="none" w:sz="0" w:space="0" w:color="auto"/>
            <w:right w:val="none" w:sz="0" w:space="0" w:color="auto"/>
          </w:divBdr>
        </w:div>
        <w:div w:id="1492407466">
          <w:marLeft w:val="567"/>
          <w:marRight w:val="0"/>
          <w:marTop w:val="60"/>
          <w:marBottom w:val="0"/>
          <w:divBdr>
            <w:top w:val="none" w:sz="0" w:space="0" w:color="auto"/>
            <w:left w:val="none" w:sz="0" w:space="0" w:color="auto"/>
            <w:bottom w:val="none" w:sz="0" w:space="0" w:color="auto"/>
            <w:right w:val="none" w:sz="0" w:space="0" w:color="auto"/>
          </w:divBdr>
        </w:div>
        <w:div w:id="783891720">
          <w:marLeft w:val="567"/>
          <w:marRight w:val="0"/>
          <w:marTop w:val="60"/>
          <w:marBottom w:val="0"/>
          <w:divBdr>
            <w:top w:val="none" w:sz="0" w:space="0" w:color="auto"/>
            <w:left w:val="none" w:sz="0" w:space="0" w:color="auto"/>
            <w:bottom w:val="none" w:sz="0" w:space="0" w:color="auto"/>
            <w:right w:val="none" w:sz="0" w:space="0" w:color="auto"/>
          </w:divBdr>
        </w:div>
        <w:div w:id="1751074598">
          <w:marLeft w:val="567"/>
          <w:marRight w:val="0"/>
          <w:marTop w:val="60"/>
          <w:marBottom w:val="0"/>
          <w:divBdr>
            <w:top w:val="none" w:sz="0" w:space="0" w:color="auto"/>
            <w:left w:val="none" w:sz="0" w:space="0" w:color="auto"/>
            <w:bottom w:val="none" w:sz="0" w:space="0" w:color="auto"/>
            <w:right w:val="none" w:sz="0" w:space="0" w:color="auto"/>
          </w:divBdr>
        </w:div>
        <w:div w:id="125701157">
          <w:marLeft w:val="567"/>
          <w:marRight w:val="0"/>
          <w:marTop w:val="60"/>
          <w:marBottom w:val="0"/>
          <w:divBdr>
            <w:top w:val="none" w:sz="0" w:space="0" w:color="auto"/>
            <w:left w:val="none" w:sz="0" w:space="0" w:color="auto"/>
            <w:bottom w:val="none" w:sz="0" w:space="0" w:color="auto"/>
            <w:right w:val="none" w:sz="0" w:space="0" w:color="auto"/>
          </w:divBdr>
        </w:div>
        <w:div w:id="1698778093">
          <w:marLeft w:val="567"/>
          <w:marRight w:val="0"/>
          <w:marTop w:val="60"/>
          <w:marBottom w:val="0"/>
          <w:divBdr>
            <w:top w:val="none" w:sz="0" w:space="0" w:color="auto"/>
            <w:left w:val="none" w:sz="0" w:space="0" w:color="auto"/>
            <w:bottom w:val="none" w:sz="0" w:space="0" w:color="auto"/>
            <w:right w:val="none" w:sz="0" w:space="0" w:color="auto"/>
          </w:divBdr>
        </w:div>
        <w:div w:id="1632050915">
          <w:marLeft w:val="567"/>
          <w:marRight w:val="0"/>
          <w:marTop w:val="60"/>
          <w:marBottom w:val="0"/>
          <w:divBdr>
            <w:top w:val="none" w:sz="0" w:space="0" w:color="auto"/>
            <w:left w:val="none" w:sz="0" w:space="0" w:color="auto"/>
            <w:bottom w:val="none" w:sz="0" w:space="0" w:color="auto"/>
            <w:right w:val="none" w:sz="0" w:space="0" w:color="auto"/>
          </w:divBdr>
        </w:div>
        <w:div w:id="2007633023">
          <w:marLeft w:val="567"/>
          <w:marRight w:val="0"/>
          <w:marTop w:val="60"/>
          <w:marBottom w:val="0"/>
          <w:divBdr>
            <w:top w:val="none" w:sz="0" w:space="0" w:color="auto"/>
            <w:left w:val="none" w:sz="0" w:space="0" w:color="auto"/>
            <w:bottom w:val="none" w:sz="0" w:space="0" w:color="auto"/>
            <w:right w:val="none" w:sz="0" w:space="0" w:color="auto"/>
          </w:divBdr>
        </w:div>
        <w:div w:id="1578395697">
          <w:marLeft w:val="567"/>
          <w:marRight w:val="0"/>
          <w:marTop w:val="60"/>
          <w:marBottom w:val="0"/>
          <w:divBdr>
            <w:top w:val="none" w:sz="0" w:space="0" w:color="auto"/>
            <w:left w:val="none" w:sz="0" w:space="0" w:color="auto"/>
            <w:bottom w:val="none" w:sz="0" w:space="0" w:color="auto"/>
            <w:right w:val="none" w:sz="0" w:space="0" w:color="auto"/>
          </w:divBdr>
        </w:div>
        <w:div w:id="894124216">
          <w:marLeft w:val="567"/>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ulsoft.cz/33/361-2000-sb-zakon-o-provozu-na-pozemnich-komunikacich-a-o-zmenach-nekterych-zakonu-zakon-o-silnicnim-provozu-ve-zneni-ucinnem-k-1-10-2020-uniqueidOhwOuzC33qe_hFd_-jrpTnSy6WrdQ6E28QVDVW4IItkCD-vMUnwPlw/?uri_view_type=44&amp;uid=1iQWjw0VfgvawVBo19Ab8fw&amp;e=11gEXzdUlz7YY-PboqXJTWoxR0JbddqbQ"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ulsoft.cz/33/361-2000-sb-zakon-o-provozu-na-pozemnich-komunikacich-a-o-zmenach-nekterych-zakonu-zakon-o-silnicnim-provozu-ve-zneni-ucinnem-k-1-10-2020-uniqueidOhwOuzC33qe_hFd_-jrpTnSy6WrdQ6E28QVDVW4IItkCD-vMUnwPlw/?uri_view_type=44&amp;uid=1iQWjw0VfgvawVBo19Ab8fw&amp;e=11gEXzdUlz7YY-PboqXJTWoxR0JbddqbQ" TargetMode="External"/><Relationship Id="rId11" Type="http://schemas.openxmlformats.org/officeDocument/2006/relationships/customXml" Target="../customXml/item2.xml"/><Relationship Id="rId5" Type="http://schemas.openxmlformats.org/officeDocument/2006/relationships/hyperlink" Target="https://www.fulsoft.cz/33/361-2000-sb-zakon-o-provozu-na-pozemnich-komunikacich-a-o-zmenach-nekterych-zakonu-zakon-o-silnicnim-provozu-ve-zneni-ucinnem-k-1-10-2020-uniqueidOhwOuzC33qe_hFd_-jrpTnSy6WrdQ6E28QVDVW4IItkCD-vMUnwPlw/?uri_view_type=44&amp;uid=1iQWjw0VfgvawVBo19Ab8fw&amp;e=11gEXzdUlz7YY-PboqXJTWoxR0JbddqbQ"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6126D93CADF8A49889117A41153A8D4" ma:contentTypeVersion="2" ma:contentTypeDescription="Vytvoří nový dokument" ma:contentTypeScope="" ma:versionID="2842456f664e35c2974590211dc47d6d">
  <xsd:schema xmlns:xsd="http://www.w3.org/2001/XMLSchema" xmlns:xs="http://www.w3.org/2001/XMLSchema" xmlns:p="http://schemas.microsoft.com/office/2006/metadata/properties" xmlns:ns2="2313c1b9-e855-465d-8ebc-6c9ffbfb10db" targetNamespace="http://schemas.microsoft.com/office/2006/metadata/properties" ma:root="true" ma:fieldsID="a9d0514f3889fb4e683128589130422f" ns2:_="">
    <xsd:import namespace="2313c1b9-e855-465d-8ebc-6c9ffbfb10d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13c1b9-e855-465d-8ebc-6c9ffbfb10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D7D5EF-EDDE-4326-8749-64470EFE83D2}"/>
</file>

<file path=customXml/itemProps2.xml><?xml version="1.0" encoding="utf-8"?>
<ds:datastoreItem xmlns:ds="http://schemas.openxmlformats.org/officeDocument/2006/customXml" ds:itemID="{1D6A054D-8BFB-47BB-A735-859C8FC0E0E1}"/>
</file>

<file path=customXml/itemProps3.xml><?xml version="1.0" encoding="utf-8"?>
<ds:datastoreItem xmlns:ds="http://schemas.openxmlformats.org/officeDocument/2006/customXml" ds:itemID="{B5C811DD-4B6A-4FD7-8F30-FBF87DE611B1}"/>
</file>

<file path=docProps/app.xml><?xml version="1.0" encoding="utf-8"?>
<Properties xmlns="http://schemas.openxmlformats.org/officeDocument/2006/extended-properties" xmlns:vt="http://schemas.openxmlformats.org/officeDocument/2006/docPropsVTypes">
  <Template>Normal</Template>
  <TotalTime>39</TotalTime>
  <Pages>3</Pages>
  <Words>1432</Words>
  <Characters>8451</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rez57@vsb.cz</dc:creator>
  <cp:keywords/>
  <dc:description/>
  <cp:lastModifiedBy>rez57@vsb.cz</cp:lastModifiedBy>
  <cp:revision>7</cp:revision>
  <dcterms:created xsi:type="dcterms:W3CDTF">2021-08-23T10:06:00Z</dcterms:created>
  <dcterms:modified xsi:type="dcterms:W3CDTF">2021-08-23T10:45:00Z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0x01010046126D93CADF8A49889117A41153A8D4</vt:lpwstr>
  </property>
</Properties>
</file>